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E591" w14:textId="7BD56E59" w:rsidR="00B70586" w:rsidRDefault="00412357" w:rsidP="00412357">
      <w:pPr>
        <w:jc w:val="center"/>
        <w:rPr>
          <w:rFonts w:ascii="仿宋" w:eastAsia="仿宋" w:hAnsi="仿宋"/>
          <w:sz w:val="36"/>
          <w:szCs w:val="36"/>
        </w:rPr>
      </w:pPr>
      <w:r w:rsidRPr="00896450">
        <w:rPr>
          <w:rFonts w:ascii="仿宋" w:eastAsia="仿宋" w:hAnsi="仿宋" w:hint="eastAsia"/>
          <w:sz w:val="36"/>
          <w:szCs w:val="36"/>
        </w:rPr>
        <w:t>招标方案</w:t>
      </w:r>
    </w:p>
    <w:p w14:paraId="45F73E39" w14:textId="77777777" w:rsidR="00FE7605" w:rsidRPr="00896450" w:rsidRDefault="00FE7605" w:rsidP="00412357">
      <w:pPr>
        <w:jc w:val="center"/>
        <w:rPr>
          <w:rFonts w:ascii="仿宋" w:eastAsia="仿宋" w:hAnsi="仿宋"/>
          <w:sz w:val="36"/>
          <w:szCs w:val="36"/>
        </w:rPr>
      </w:pPr>
    </w:p>
    <w:p w14:paraId="40FD8E47" w14:textId="07C3BE76" w:rsidR="00270B0C" w:rsidRPr="00270B0C" w:rsidRDefault="00270B0C" w:rsidP="00FE7605">
      <w:pPr>
        <w:autoSpaceDN w:val="0"/>
        <w:jc w:val="left"/>
        <w:textAlignment w:val="center"/>
        <w:rPr>
          <w:rFonts w:ascii="宋体" w:eastAsia="宋体" w:hAnsi="宋体" w:cs="宋体" w:hint="eastAsia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公司或厂家：南京菲勒仪器有限公司</w:t>
      </w:r>
      <w:bookmarkStart w:id="0" w:name="_GoBack"/>
      <w:bookmarkEnd w:id="0"/>
    </w:p>
    <w:p w14:paraId="39F8255C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操作模式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主机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Cs w:val="21"/>
        </w:rPr>
        <w:t>操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Cs w:val="21"/>
        </w:rPr>
        <w:t>操作</w:t>
      </w:r>
      <w:r>
        <w:rPr>
          <w:rFonts w:eastAsia="宋体" w:cs="宋体" w:hint="eastAsia"/>
          <w:b/>
          <w:bCs/>
          <w:color w:val="000000"/>
          <w:szCs w:val="21"/>
        </w:rPr>
        <w:t>(D-8PC)</w:t>
      </w:r>
    </w:p>
    <w:p w14:paraId="7FBE1CF3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操作模式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主机操作或PC机操作</w:t>
      </w:r>
    </w:p>
    <w:p w14:paraId="3B699103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波长范围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190 - 1100nm</w:t>
      </w:r>
    </w:p>
    <w:p w14:paraId="5BECE7F2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光谱带宽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1nm/</w:t>
      </w:r>
      <w:r>
        <w:rPr>
          <w:rFonts w:eastAsia="宋体" w:cs="宋体" w:hint="eastAsia"/>
          <w:b/>
          <w:bCs/>
          <w:color w:val="000000"/>
          <w:szCs w:val="21"/>
        </w:rPr>
        <w:t>1.8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nm</w:t>
      </w:r>
      <w:r>
        <w:rPr>
          <w:rFonts w:eastAsia="宋体" w:cs="宋体" w:hint="eastAsia"/>
          <w:b/>
          <w:bCs/>
          <w:color w:val="000000"/>
          <w:szCs w:val="21"/>
        </w:rPr>
        <w:t>(</w:t>
      </w:r>
      <w:r>
        <w:rPr>
          <w:rFonts w:eastAsia="宋体" w:cs="宋体" w:hint="eastAsia"/>
          <w:b/>
          <w:bCs/>
          <w:color w:val="000000"/>
          <w:szCs w:val="21"/>
        </w:rPr>
        <w:t>可选</w:t>
      </w:r>
      <w:r>
        <w:rPr>
          <w:rFonts w:eastAsia="宋体" w:cs="宋体" w:hint="eastAsia"/>
          <w:b/>
          <w:bCs/>
          <w:color w:val="000000"/>
          <w:szCs w:val="21"/>
        </w:rPr>
        <w:t>)</w:t>
      </w:r>
    </w:p>
    <w:p w14:paraId="2A8B102C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光学系统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准双光束，CT式光路；1200 线/毫米激光全息衍射光栅</w:t>
      </w:r>
    </w:p>
    <w:p w14:paraId="33F838FC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波长精度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±0.1 nm（656.1 nm D2）,±0.3 nm（全波长范围）</w:t>
      </w:r>
    </w:p>
    <w:p w14:paraId="54AEDC95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波长重复率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±0.15nm</w:t>
      </w:r>
    </w:p>
    <w:p w14:paraId="53513371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波长分辨率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0.1nm</w:t>
      </w:r>
    </w:p>
    <w:p w14:paraId="6D2F64CB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光度范围</w:t>
      </w:r>
      <w:r>
        <w:rPr>
          <w:rFonts w:eastAsia="宋体" w:cs="宋体" w:hint="eastAsia"/>
          <w:b/>
          <w:bCs/>
          <w:color w:val="FF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­3 to 3A ;  0-200%T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szCs w:val="21"/>
        </w:rPr>
        <w:t>;  -</w:t>
      </w:r>
      <w:proofErr w:type="gramEnd"/>
      <w:r>
        <w:rPr>
          <w:rFonts w:ascii="宋体" w:eastAsia="宋体" w:hAnsi="宋体" w:cs="宋体" w:hint="eastAsia"/>
          <w:b/>
          <w:bCs/>
          <w:color w:val="FF0000"/>
          <w:szCs w:val="21"/>
        </w:rPr>
        <w:t>9999 to 9999C</w:t>
      </w:r>
    </w:p>
    <w:p w14:paraId="4E3AAB6B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光度精度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±0.002A(0～0.5A)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±0.004A(0.5～1A) 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±0.008A(1～2A)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±0.3%T(0～100%T)</w:t>
      </w:r>
    </w:p>
    <w:p w14:paraId="3BCF0276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光度</w:t>
      </w:r>
      <w:r>
        <w:rPr>
          <w:rFonts w:eastAsia="宋体" w:cs="宋体" w:hint="eastAsia"/>
          <w:b/>
          <w:bCs/>
          <w:color w:val="000000"/>
          <w:szCs w:val="21"/>
        </w:rPr>
        <w:t>重复性：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±0.001A(0～0.5A)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±0.002A(0.5～1A) 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±0.004A(1～2A)</w:t>
      </w:r>
      <w:r>
        <w:rPr>
          <w:rFonts w:eastAsia="宋体" w:cs="宋体" w:hint="eastAsia"/>
          <w:b/>
          <w:bCs/>
          <w:color w:val="000000"/>
          <w:szCs w:val="21"/>
        </w:rPr>
        <w:t>.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±0.15%T(0～100%T)</w:t>
      </w:r>
    </w:p>
    <w:p w14:paraId="0F9E3380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杂散光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≤ 0.05%T （220 nm，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szCs w:val="21"/>
        </w:rPr>
        <w:t>NaI</w:t>
      </w:r>
      <w:proofErr w:type="spellEnd"/>
      <w:r>
        <w:rPr>
          <w:rFonts w:ascii="宋体" w:eastAsia="宋体" w:hAnsi="宋体" w:cs="宋体" w:hint="eastAsia"/>
          <w:b/>
          <w:bCs/>
          <w:color w:val="000000"/>
          <w:szCs w:val="21"/>
        </w:rPr>
        <w:t>；340 nm，NaNO2）</w:t>
      </w:r>
    </w:p>
    <w:p w14:paraId="432A65AE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基线平直度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±0.0015A</w:t>
      </w:r>
      <w:r>
        <w:rPr>
          <w:rFonts w:ascii="宋体" w:eastAsia="宋体" w:hAnsi="宋体" w:cs="宋体" w:hint="eastAsia"/>
          <w:b/>
          <w:bCs/>
          <w:szCs w:val="21"/>
        </w:rPr>
        <w:t>（190～1100nm）</w:t>
      </w:r>
    </w:p>
    <w:p w14:paraId="4C8B962F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稳定性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±0.001A/</w:t>
      </w:r>
      <w:proofErr w:type="spellStart"/>
      <w:r>
        <w:rPr>
          <w:rFonts w:ascii="宋体" w:eastAsia="宋体" w:hAnsi="宋体" w:cs="宋体" w:hint="eastAsia"/>
          <w:b/>
          <w:bCs/>
          <w:color w:val="000000"/>
          <w:szCs w:val="21"/>
        </w:rPr>
        <w:t>hr</w:t>
      </w:r>
      <w:proofErr w:type="spellEnd"/>
      <w:r>
        <w:rPr>
          <w:rFonts w:ascii="宋体" w:eastAsia="宋体" w:hAnsi="宋体" w:cs="宋体" w:hint="eastAsia"/>
          <w:b/>
          <w:bCs/>
          <w:color w:val="000000"/>
          <w:szCs w:val="21"/>
        </w:rPr>
        <w:t xml:space="preserve"> @500nm ,0A</w:t>
      </w:r>
    </w:p>
    <w:p w14:paraId="220D57FA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光度噪声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±0.001A</w:t>
      </w:r>
    </w:p>
    <w:p w14:paraId="74F4CF8F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★导数分辨率</w:t>
      </w:r>
      <w:r>
        <w:rPr>
          <w:rFonts w:eastAsia="宋体" w:cs="宋体" w:hint="eastAsia"/>
          <w:b/>
          <w:bCs/>
          <w:color w:val="FF0000"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&gt;0.5</w:t>
      </w:r>
    </w:p>
    <w:p w14:paraId="6ECB9490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数据输出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szCs w:val="21"/>
          <w:shd w:val="clear" w:color="FFFFFF" w:fill="D9D9D9"/>
        </w:rPr>
        <w:t>320×240图形显示液晶屏</w:t>
      </w:r>
      <w:r>
        <w:rPr>
          <w:rFonts w:eastAsia="宋体" w:cs="宋体" w:hint="eastAsia"/>
          <w:b/>
          <w:bCs/>
          <w:szCs w:val="21"/>
          <w:shd w:val="clear" w:color="FFFFFF" w:fill="D9D9D9"/>
        </w:rPr>
        <w:t xml:space="preserve"> </w:t>
      </w:r>
      <w:r>
        <w:rPr>
          <w:rFonts w:eastAsia="宋体" w:cs="宋体" w:hint="eastAsia"/>
          <w:b/>
          <w:bCs/>
          <w:szCs w:val="21"/>
        </w:rPr>
        <w:t xml:space="preserve">  </w:t>
      </w:r>
    </w:p>
    <w:p w14:paraId="130F3CA5" w14:textId="77777777" w:rsidR="00FE7605" w:rsidRDefault="00FE7605" w:rsidP="00FE7605">
      <w:pPr>
        <w:autoSpaceDN w:val="0"/>
        <w:jc w:val="left"/>
        <w:textAlignment w:val="center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外形尺寸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470×390×225</w:t>
      </w:r>
    </w:p>
    <w:p w14:paraId="4A9641CF" w14:textId="77777777" w:rsidR="00FE7605" w:rsidRDefault="00FE7605" w:rsidP="00FE7605">
      <w:pPr>
        <w:ind w:rightChars="-501" w:right="-1052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重量</w:t>
      </w:r>
      <w:r>
        <w:rPr>
          <w:rFonts w:eastAsia="宋体" w:cs="宋体" w:hint="eastAsia"/>
          <w:b/>
          <w:bCs/>
          <w:color w:val="000000"/>
          <w:szCs w:val="21"/>
        </w:rPr>
        <w:t>：</w:t>
      </w:r>
      <w:r>
        <w:rPr>
          <w:rFonts w:ascii="宋体" w:eastAsia="宋体" w:hAnsi="宋体" w:cs="宋体" w:hint="eastAsia"/>
          <w:b/>
          <w:bCs/>
          <w:color w:val="000000"/>
          <w:szCs w:val="21"/>
        </w:rPr>
        <w:t>20Kg</w:t>
      </w:r>
    </w:p>
    <w:p w14:paraId="01678110" w14:textId="77777777" w:rsidR="00FE7605" w:rsidRDefault="00FE7605" w:rsidP="00FE7605">
      <w:pPr>
        <w:ind w:rightChars="-501" w:right="-1052"/>
        <w:rPr>
          <w:rFonts w:ascii="宋体" w:eastAsia="宋体" w:hAnsi="宋体" w:cs="宋体"/>
          <w:b/>
          <w:bCs/>
          <w:color w:val="000000"/>
          <w:szCs w:val="21"/>
        </w:rPr>
      </w:pPr>
    </w:p>
    <w:p w14:paraId="7ACEF4A3" w14:textId="77777777" w:rsidR="00FE7605" w:rsidRDefault="00FE7605" w:rsidP="00FE7605">
      <w:pPr>
        <w:rPr>
          <w:rFonts w:eastAsia="宋体" w:cs="宋体"/>
          <w:b/>
          <w:bCs/>
          <w:color w:val="000000"/>
          <w:sz w:val="30"/>
          <w:szCs w:val="30"/>
        </w:rPr>
      </w:pPr>
      <w:r>
        <w:rPr>
          <w:rFonts w:eastAsia="宋体" w:cs="宋体" w:hint="eastAsia"/>
          <w:b/>
          <w:bCs/>
          <w:color w:val="000000"/>
          <w:sz w:val="30"/>
          <w:szCs w:val="30"/>
        </w:rPr>
        <w:t>标准配置</w:t>
      </w:r>
    </w:p>
    <w:tbl>
      <w:tblPr>
        <w:tblStyle w:val="a3"/>
        <w:tblpPr w:leftFromText="180" w:rightFromText="180" w:vertAnchor="text" w:horzAnchor="page" w:tblpX="1839" w:tblpY="2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39"/>
      </w:tblGrid>
      <w:tr w:rsidR="00FE7605" w14:paraId="475180EB" w14:textId="77777777" w:rsidTr="00D05C7E">
        <w:trPr>
          <w:trHeight w:val="320"/>
        </w:trPr>
        <w:tc>
          <w:tcPr>
            <w:tcW w:w="5339" w:type="dxa"/>
          </w:tcPr>
          <w:p w14:paraId="708C0966" w14:textId="77777777" w:rsidR="00FE7605" w:rsidRDefault="00FE7605" w:rsidP="00D05C7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D-8pc</w:t>
            </w:r>
          </w:p>
        </w:tc>
      </w:tr>
      <w:tr w:rsidR="00FE7605" w14:paraId="4B2F3807" w14:textId="77777777" w:rsidTr="00D05C7E">
        <w:trPr>
          <w:trHeight w:val="320"/>
        </w:trPr>
        <w:tc>
          <w:tcPr>
            <w:tcW w:w="5339" w:type="dxa"/>
          </w:tcPr>
          <w:p w14:paraId="1CCBA2BF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主机一台</w:t>
            </w:r>
          </w:p>
        </w:tc>
      </w:tr>
      <w:tr w:rsidR="00FE7605" w14:paraId="2ADC911B" w14:textId="77777777" w:rsidTr="00D05C7E">
        <w:trPr>
          <w:trHeight w:val="320"/>
        </w:trPr>
        <w:tc>
          <w:tcPr>
            <w:tcW w:w="5339" w:type="dxa"/>
          </w:tcPr>
          <w:p w14:paraId="6D8538AF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1cm石英比色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皿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一套（2只）</w:t>
            </w:r>
          </w:p>
        </w:tc>
      </w:tr>
      <w:tr w:rsidR="00FE7605" w14:paraId="1AA7F3D9" w14:textId="77777777" w:rsidTr="00D05C7E">
        <w:trPr>
          <w:trHeight w:val="320"/>
        </w:trPr>
        <w:tc>
          <w:tcPr>
            <w:tcW w:w="5339" w:type="dxa"/>
          </w:tcPr>
          <w:p w14:paraId="6AB77247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1cm玻璃比色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皿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一套（4只）</w:t>
            </w:r>
          </w:p>
        </w:tc>
      </w:tr>
      <w:tr w:rsidR="00FE7605" w14:paraId="6C5F713F" w14:textId="77777777" w:rsidTr="00D05C7E">
        <w:trPr>
          <w:trHeight w:val="320"/>
        </w:trPr>
        <w:tc>
          <w:tcPr>
            <w:tcW w:w="5339" w:type="dxa"/>
          </w:tcPr>
          <w:p w14:paraId="38428E72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使用说明书一套</w:t>
            </w:r>
          </w:p>
        </w:tc>
      </w:tr>
      <w:tr w:rsidR="00FE7605" w14:paraId="1F43B92E" w14:textId="77777777" w:rsidTr="00D05C7E">
        <w:trPr>
          <w:trHeight w:val="320"/>
        </w:trPr>
        <w:tc>
          <w:tcPr>
            <w:tcW w:w="5339" w:type="dxa"/>
          </w:tcPr>
          <w:p w14:paraId="248862D1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电源线一根</w:t>
            </w:r>
          </w:p>
        </w:tc>
      </w:tr>
      <w:tr w:rsidR="00FE7605" w14:paraId="6E130A21" w14:textId="77777777" w:rsidTr="00D05C7E">
        <w:trPr>
          <w:trHeight w:val="320"/>
        </w:trPr>
        <w:tc>
          <w:tcPr>
            <w:tcW w:w="5339" w:type="dxa"/>
          </w:tcPr>
          <w:p w14:paraId="0423D79B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防尘罩一个</w:t>
            </w:r>
          </w:p>
        </w:tc>
      </w:tr>
      <w:tr w:rsidR="00FE7605" w14:paraId="0C2D49BA" w14:textId="77777777" w:rsidTr="00D05C7E">
        <w:trPr>
          <w:trHeight w:val="320"/>
        </w:trPr>
        <w:tc>
          <w:tcPr>
            <w:tcW w:w="5339" w:type="dxa"/>
          </w:tcPr>
          <w:p w14:paraId="6B78965C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装箱单</w:t>
            </w:r>
          </w:p>
        </w:tc>
      </w:tr>
      <w:tr w:rsidR="00FE7605" w14:paraId="73595E4E" w14:textId="77777777" w:rsidTr="00D05C7E">
        <w:trPr>
          <w:trHeight w:val="320"/>
        </w:trPr>
        <w:tc>
          <w:tcPr>
            <w:tcW w:w="5339" w:type="dxa"/>
          </w:tcPr>
          <w:p w14:paraId="40721340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合格证</w:t>
            </w:r>
          </w:p>
        </w:tc>
      </w:tr>
      <w:tr w:rsidR="00FE7605" w14:paraId="4A0106EF" w14:textId="77777777" w:rsidTr="00D05C7E">
        <w:trPr>
          <w:trHeight w:val="320"/>
        </w:trPr>
        <w:tc>
          <w:tcPr>
            <w:tcW w:w="5339" w:type="dxa"/>
          </w:tcPr>
          <w:p w14:paraId="4683D14B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光谱分析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家软件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光谱一个</w:t>
            </w:r>
          </w:p>
        </w:tc>
      </w:tr>
      <w:tr w:rsidR="00FE7605" w14:paraId="0982B7FF" w14:textId="77777777" w:rsidTr="00D05C7E">
        <w:trPr>
          <w:trHeight w:val="320"/>
        </w:trPr>
        <w:tc>
          <w:tcPr>
            <w:tcW w:w="5339" w:type="dxa"/>
          </w:tcPr>
          <w:p w14:paraId="2473CCC0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光谱分析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家软件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使用说明书一本</w:t>
            </w:r>
          </w:p>
        </w:tc>
      </w:tr>
      <w:tr w:rsidR="00FE7605" w14:paraId="0D6D76AF" w14:textId="77777777" w:rsidTr="00D05C7E">
        <w:trPr>
          <w:trHeight w:val="291"/>
        </w:trPr>
        <w:tc>
          <w:tcPr>
            <w:tcW w:w="5339" w:type="dxa"/>
          </w:tcPr>
          <w:p w14:paraId="76D967BB" w14:textId="77777777" w:rsidR="00FE7605" w:rsidRDefault="00FE7605" w:rsidP="00D05C7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USB数据线一根</w:t>
            </w:r>
          </w:p>
        </w:tc>
      </w:tr>
      <w:tr w:rsidR="00FE7605" w14:paraId="25C3B423" w14:textId="77777777" w:rsidTr="00D05C7E">
        <w:trPr>
          <w:trHeight w:val="320"/>
        </w:trPr>
        <w:tc>
          <w:tcPr>
            <w:tcW w:w="5339" w:type="dxa"/>
          </w:tcPr>
          <w:p w14:paraId="3B6ED3E4" w14:textId="77777777" w:rsidR="00FE7605" w:rsidRDefault="00FE7605" w:rsidP="00D05C7E">
            <w:pPr>
              <w:rPr>
                <w:b/>
                <w:bCs/>
                <w:szCs w:val="21"/>
              </w:rPr>
            </w:pPr>
          </w:p>
        </w:tc>
      </w:tr>
    </w:tbl>
    <w:p w14:paraId="5FE2622D" w14:textId="77777777" w:rsidR="00FE7605" w:rsidRDefault="00FE7605" w:rsidP="00FE7605">
      <w:pPr>
        <w:ind w:rightChars="-501" w:right="-1052"/>
        <w:rPr>
          <w:rFonts w:ascii="宋体" w:eastAsia="宋体" w:hAnsi="宋体" w:cs="宋体"/>
          <w:b/>
          <w:bCs/>
          <w:color w:val="000000"/>
          <w:szCs w:val="21"/>
        </w:rPr>
      </w:pPr>
    </w:p>
    <w:p w14:paraId="134975B0" w14:textId="56B7B6DA" w:rsidR="00412357" w:rsidRPr="00412357" w:rsidRDefault="00412357" w:rsidP="00FE7605">
      <w:pPr>
        <w:jc w:val="left"/>
        <w:rPr>
          <w:rFonts w:ascii="仿宋" w:eastAsia="仿宋" w:hAnsi="仿宋"/>
          <w:sz w:val="32"/>
          <w:szCs w:val="32"/>
        </w:rPr>
      </w:pPr>
    </w:p>
    <w:sectPr w:rsidR="00412357" w:rsidRPr="0041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AEBA" w14:textId="77777777" w:rsidR="00C579D6" w:rsidRDefault="00C579D6" w:rsidP="00FE7605">
      <w:r>
        <w:separator/>
      </w:r>
    </w:p>
  </w:endnote>
  <w:endnote w:type="continuationSeparator" w:id="0">
    <w:p w14:paraId="3B149AC2" w14:textId="77777777" w:rsidR="00C579D6" w:rsidRDefault="00C579D6" w:rsidP="00FE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06422" w14:textId="77777777" w:rsidR="00C579D6" w:rsidRDefault="00C579D6" w:rsidP="00FE7605">
      <w:r>
        <w:separator/>
      </w:r>
    </w:p>
  </w:footnote>
  <w:footnote w:type="continuationSeparator" w:id="0">
    <w:p w14:paraId="67040FB6" w14:textId="77777777" w:rsidR="00C579D6" w:rsidRDefault="00C579D6" w:rsidP="00FE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57"/>
    <w:rsid w:val="00270B0C"/>
    <w:rsid w:val="00412357"/>
    <w:rsid w:val="005409DA"/>
    <w:rsid w:val="00896450"/>
    <w:rsid w:val="00B70586"/>
    <w:rsid w:val="00C579D6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81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fanglanlan0813@163.com</dc:creator>
  <cp:keywords/>
  <dc:description/>
  <cp:lastModifiedBy>PC-6</cp:lastModifiedBy>
  <cp:revision>3</cp:revision>
  <dcterms:created xsi:type="dcterms:W3CDTF">2022-10-18T01:16:00Z</dcterms:created>
  <dcterms:modified xsi:type="dcterms:W3CDTF">2022-11-18T05:07:00Z</dcterms:modified>
</cp:coreProperties>
</file>